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3360" w:rsidRDefault="000E0008">
      <w:pPr>
        <w:tabs>
          <w:tab w:val="left" w:pos="2427"/>
          <w:tab w:val="left" w:pos="3862"/>
          <w:tab w:val="left" w:pos="8019"/>
        </w:tabs>
        <w:ind w:left="194"/>
        <w:rPr>
          <w:sz w:val="20"/>
          <w:rFonts w:ascii="Times New Roman"/>
        </w:rPr>
      </w:pPr>
      <w:r>
        <w:rPr>
          <w:sz w:val="20"/>
          <w:rFonts w:ascii="Times New Roman"/>
        </w:rPr>
        <w:drawing>
          <wp:inline distT="0" distB="0" distL="0" distR="0">
            <wp:extent cx="1212271" cy="690086"/>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5" cstate="print"/>
                    <a:stretch>
                      <a:fillRect/>
                    </a:stretch>
                  </pic:blipFill>
                  <pic:spPr>
                    <a:xfrm>
                      <a:off x="0" y="0"/>
                      <a:ext cx="1212271" cy="690086"/>
                    </a:xfrm>
                    <a:prstGeom prst="rect">
                      <a:avLst/>
                    </a:prstGeom>
                  </pic:spPr>
                </pic:pic>
              </a:graphicData>
            </a:graphic>
          </wp:inline>
        </w:drawing>
      </w:r>
      <w:r>
        <w:rPr>
          <w:sz w:val="20"/>
          <w:rFonts w:ascii="Times New Roman"/>
        </w:rPr>
        <w:tab/>
      </w:r>
      <w:r>
        <w:drawing>
          <wp:inline distT="0" distB="0" distL="0" distR="0">
            <wp:extent cx="665661" cy="688085"/>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6" cstate="print"/>
                    <a:stretch>
                      <a:fillRect/>
                    </a:stretch>
                  </pic:blipFill>
                  <pic:spPr>
                    <a:xfrm>
                      <a:off x="0" y="0"/>
                      <a:ext cx="665661" cy="688085"/>
                    </a:xfrm>
                    <a:prstGeom prst="rect">
                      <a:avLst/>
                    </a:prstGeom>
                  </pic:spPr>
                </pic:pic>
              </a:graphicData>
            </a:graphic>
          </wp:inline>
        </w:drawing>
      </w:r>
      <w:r>
        <w:rPr>
          <w:sz w:val="20"/>
          <w:rFonts w:ascii="Times New Roman"/>
        </w:rPr>
        <w:tab/>
      </w:r>
      <w:r>
        <w:drawing>
          <wp:inline distT="0" distB="0" distL="0" distR="0">
            <wp:extent cx="1169667" cy="249174"/>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7" cstate="print"/>
                    <a:stretch>
                      <a:fillRect/>
                    </a:stretch>
                  </pic:blipFill>
                  <pic:spPr>
                    <a:xfrm>
                      <a:off x="0" y="0"/>
                      <a:ext cx="1169667" cy="249174"/>
                    </a:xfrm>
                    <a:prstGeom prst="rect">
                      <a:avLst/>
                    </a:prstGeom>
                  </pic:spPr>
                </pic:pic>
              </a:graphicData>
            </a:graphic>
          </wp:inline>
        </w:drawing>
      </w:r>
      <w:r>
        <w:rPr>
          <w:sz w:val="20"/>
          <w:rFonts w:ascii="Times New Roman"/>
        </w:rPr>
        <w:t xml:space="preserve"> </w:t>
      </w:r>
      <w:r>
        <w:drawing>
          <wp:inline distT="0" distB="0" distL="0" distR="0">
            <wp:extent cx="1111177" cy="280987"/>
            <wp:effectExtent l="0" t="0" r="0" b="0"/>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8" cstate="print"/>
                    <a:stretch>
                      <a:fillRect/>
                    </a:stretch>
                  </pic:blipFill>
                  <pic:spPr>
                    <a:xfrm>
                      <a:off x="0" y="0"/>
                      <a:ext cx="1111177" cy="280987"/>
                    </a:xfrm>
                    <a:prstGeom prst="rect">
                      <a:avLst/>
                    </a:prstGeom>
                  </pic:spPr>
                </pic:pic>
              </a:graphicData>
            </a:graphic>
          </wp:inline>
        </w:drawing>
      </w:r>
      <w:r>
        <w:rPr>
          <w:sz w:val="20"/>
          <w:rFonts w:ascii="Times New Roman"/>
        </w:rPr>
        <w:tab/>
      </w:r>
      <w:r>
        <w:drawing>
          <wp:inline distT="0" distB="0" distL="0" distR="0">
            <wp:extent cx="688437" cy="662940"/>
            <wp:effectExtent l="0" t="0" r="0" b="0"/>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9" cstate="print"/>
                    <a:stretch>
                      <a:fillRect/>
                    </a:stretch>
                  </pic:blipFill>
                  <pic:spPr>
                    <a:xfrm>
                      <a:off x="0" y="0"/>
                      <a:ext cx="688437" cy="662940"/>
                    </a:xfrm>
                    <a:prstGeom prst="rect">
                      <a:avLst/>
                    </a:prstGeom>
                  </pic:spPr>
                </pic:pic>
              </a:graphicData>
            </a:graphic>
          </wp:inline>
        </w:drawing>
      </w:r>
    </w:p>
    <w:p w:rsidR="00FD3360" w:rsidRDefault="00FD3360">
      <w:pPr>
        <w:pStyle w:val="Corpsdetexte"/>
        <w:ind w:left="0"/>
        <w:rPr>
          <w:rFonts w:ascii="Times New Roman"/>
          <w:sz w:val="20"/>
        </w:rPr>
      </w:pPr>
    </w:p>
    <w:p w:rsidR="00FD3360" w:rsidRDefault="00FD3360">
      <w:pPr>
        <w:pStyle w:val="Corpsdetexte"/>
        <w:spacing w:before="5"/>
        <w:ind w:left="0"/>
        <w:rPr>
          <w:rFonts w:ascii="Times New Roman"/>
          <w:sz w:val="25"/>
        </w:rPr>
      </w:pPr>
    </w:p>
    <w:p w:rsidR="00FD3360" w:rsidRDefault="000E0008">
      <w:pPr>
        <w:spacing w:before="100"/>
        <w:ind w:left="193"/>
        <w:rPr>
          <w:sz w:val="24"/>
        </w:rPr>
      </w:pPr>
      <w:r>
        <w:rPr>
          <w:color w:val="595959"/>
          <w:sz w:val="24"/>
        </w:rPr>
        <w:t xml:space="preserve">DESENVOLVIMENTO DE CAPACIDADES DE ELABORAÇÃO DE LEIS E POLÍTICAS SOBRE DESLOCAÇÕES INTERNAS</w:t>
      </w:r>
    </w:p>
    <w:p w:rsidR="00FD3360" w:rsidRDefault="00FD3360">
      <w:pPr>
        <w:pStyle w:val="Corpsdetexte"/>
        <w:ind w:left="0"/>
        <w:rPr>
          <w:sz w:val="28"/>
        </w:rPr>
      </w:pPr>
    </w:p>
    <w:p w:rsidR="00FD3360" w:rsidRDefault="00FD3360">
      <w:pPr>
        <w:pStyle w:val="Corpsdetexte"/>
        <w:ind w:left="0"/>
        <w:rPr>
          <w:sz w:val="28"/>
        </w:rPr>
      </w:pPr>
    </w:p>
    <w:p w:rsidR="00FD3360" w:rsidRDefault="00FD3360">
      <w:pPr>
        <w:pStyle w:val="Corpsdetexte"/>
        <w:spacing w:before="7"/>
        <w:ind w:left="0"/>
        <w:rPr>
          <w:sz w:val="25"/>
        </w:rPr>
      </w:pPr>
    </w:p>
    <w:p w:rsidR="00FD3360" w:rsidRDefault="000E0008" w:rsidP="00774F51">
      <w:pPr>
        <w:pStyle w:val="Titre"/>
      </w:pPr>
      <w:r>
        <w:rPr>
          <w:color w:val="5B9BD5"/>
        </w:rPr>
        <w:t xml:space="preserve">SESSÃO 5:</w:t>
      </w:r>
      <w:r>
        <w:rPr>
          <w:color w:val="5B9BD5"/>
        </w:rPr>
        <w:t xml:space="preserve"> </w:t>
      </w:r>
      <w:r>
        <w:rPr>
          <w:color w:val="5B9BD5"/>
        </w:rPr>
        <w:t xml:space="preserve">PREPARAÇÃO – ANÁLISE JURÍDICA</w:t>
      </w:r>
    </w:p>
    <w:p w:rsidR="00FD3360" w:rsidRDefault="000E0008">
      <w:pPr>
        <w:spacing w:before="313" w:line="288" w:lineRule="auto"/>
        <w:ind w:left="193" w:right="272"/>
        <w:rPr>
          <w:sz w:val="19"/>
        </w:rPr>
      </w:pPr>
      <w:r>
        <w:rPr>
          <w:sz w:val="21"/>
        </w:rPr>
        <w:t xml:space="preserve">O seguinte é um extrato da análise pelo IDMC e CNR, do quadro legal do Zimbabué, na medida em que se relaciona com a proteção das PDI, publicada em dezembro de</w:t>
      </w:r>
      <w:r>
        <w:rPr>
          <w:sz w:val="19"/>
        </w:rPr>
        <w:t xml:space="preserve"> 2014 e</w:t>
      </w:r>
      <w:r>
        <w:rPr>
          <w:sz w:val="19"/>
        </w:rPr>
        <w:t xml:space="preserve"> </w:t>
      </w:r>
      <w:r>
        <w:rPr>
          <w:sz w:val="19"/>
        </w:rPr>
        <w:t xml:space="preserve">disponível em</w:t>
      </w:r>
      <w:r>
        <w:rPr>
          <w:sz w:val="19"/>
        </w:rPr>
        <w:t xml:space="preserve"> </w:t>
      </w:r>
      <w:hyperlink r:id="rId10">
        <w:r>
          <w:rPr>
            <w:color w:val="0563C1"/>
            <w:sz w:val="19"/>
            <w:u w:val="single" w:color="0563C1"/>
          </w:rPr>
          <w:t xml:space="preserve">http://goo.gl/637ZCD</w:t>
        </w:r>
      </w:hyperlink>
      <w:r>
        <w:t xml:space="preserve">.</w:t>
      </w:r>
    </w:p>
    <w:p w:rsidR="00FD3360" w:rsidRDefault="00FD3360">
      <w:pPr>
        <w:pStyle w:val="Corpsdetexte"/>
        <w:spacing w:before="11"/>
        <w:ind w:left="0"/>
        <w:rPr>
          <w:sz w:val="12"/>
        </w:rPr>
      </w:pPr>
    </w:p>
    <w:p w:rsidR="00FD3360" w:rsidRDefault="000E0008">
      <w:pPr>
        <w:tabs>
          <w:tab w:val="left" w:pos="9351"/>
        </w:tabs>
        <w:spacing w:before="106"/>
        <w:ind w:left="107"/>
        <w:rPr>
          <w:b/>
          <w:sz w:val="21"/>
        </w:rPr>
      </w:pPr>
      <w:r>
        <w:rPr>
          <w:color w:val="FFFFFF"/>
          <w:sz w:val="21"/>
          <w:shd w:val="clear" w:color="auto" w:fill="5B9BD5"/>
          <w:rFonts w:ascii="Times New Roman"/>
        </w:rPr>
        <w:t xml:space="preserve">  </w:t>
      </w:r>
      <w:r>
        <w:rPr>
          <w:color w:val="FFFFFF"/>
          <w:sz w:val="21"/>
          <w:shd w:val="clear" w:color="auto" w:fill="5B9BD5"/>
          <w:b/>
        </w:rPr>
        <w:t xml:space="preserve">PRINCIPAIS RECOMENDAÇÕES</w:t>
      </w:r>
      <w:r>
        <w:rPr>
          <w:color w:val="FFFFFF"/>
          <w:sz w:val="21"/>
          <w:shd w:val="clear" w:color="auto" w:fill="5B9BD5"/>
          <w:b/>
        </w:rPr>
        <w:tab/>
      </w:r>
    </w:p>
    <w:p w:rsidR="00FD3360" w:rsidRDefault="00FD3360">
      <w:pPr>
        <w:pStyle w:val="Corpsdetexte"/>
        <w:spacing w:before="3"/>
        <w:ind w:left="0"/>
        <w:rPr>
          <w:b/>
          <w:sz w:val="16"/>
        </w:rPr>
      </w:pPr>
    </w:p>
    <w:p w:rsidR="00FD3360" w:rsidRDefault="000E0008">
      <w:pPr>
        <w:pStyle w:val="Corpsdetexte"/>
        <w:spacing w:before="106" w:line="288" w:lineRule="auto"/>
        <w:ind w:left="193" w:right="272"/>
      </w:pPr>
      <w:r>
        <w:t xml:space="preserve">As principais recomendações do IDMC e do CNR ao governo, após a análise dos instrumentos legais relevantes debatidos nos capítulos temáticos são as seguintes:</w:t>
      </w:r>
    </w:p>
    <w:p w:rsidR="00FD3360" w:rsidRDefault="000E0008">
      <w:pPr>
        <w:pStyle w:val="Paragraphedeliste"/>
        <w:numPr>
          <w:ilvl w:val="0"/>
          <w:numId w:val="1"/>
        </w:numPr>
        <w:tabs>
          <w:tab w:val="left" w:pos="913"/>
          <w:tab w:val="left" w:pos="914"/>
        </w:tabs>
        <w:spacing w:before="207" w:line="288" w:lineRule="auto"/>
        <w:ind w:right="755"/>
        <w:rPr>
          <w:sz w:val="19"/>
        </w:rPr>
      </w:pPr>
      <w:r>
        <w:rPr>
          <w:sz w:val="19"/>
        </w:rPr>
        <w:t xml:space="preserve">Traduzir as disposições da Convenção de Kampala para a legislação nacional, de forma a estabelecer um quadro nacional que responde às deslocações internas de um modo abrangente.</w:t>
      </w:r>
    </w:p>
    <w:p w:rsidR="00FD3360" w:rsidRDefault="000E0008">
      <w:pPr>
        <w:pStyle w:val="Paragraphedeliste"/>
        <w:numPr>
          <w:ilvl w:val="0"/>
          <w:numId w:val="1"/>
        </w:numPr>
        <w:tabs>
          <w:tab w:val="left" w:pos="913"/>
          <w:tab w:val="left" w:pos="914"/>
        </w:tabs>
        <w:spacing w:before="5" w:line="290" w:lineRule="auto"/>
        <w:ind w:right="314"/>
        <w:rPr>
          <w:sz w:val="19"/>
        </w:rPr>
      </w:pPr>
      <w:r>
        <w:rPr>
          <w:sz w:val="19"/>
        </w:rPr>
        <w:t xml:space="preserve">Identificar e nomear legalmente uma instituição nacional responsável pela coordenação de todos os esforços voltados para a proteção e procura de soluções duradouras para as PDI, incluindo a interação com agências humanitárias e de desenvolvimento nacionais e internacionais, e organizações da sociedade civil na prestação de proteção e assistência às PDI.</w:t>
      </w:r>
      <w:r>
        <w:rPr>
          <w:sz w:val="19"/>
        </w:rPr>
        <w:t xml:space="preserve"> </w:t>
      </w:r>
      <w:r>
        <w:rPr>
          <w:sz w:val="19"/>
        </w:rPr>
        <w:t xml:space="preserve">A definição legal do mandato da instituição nacional responsável pelas PDI deve ser acompanhada da provisão de uma dotação orçamental anual específica à execução, pela instituição, das tarefas de que foi incumbida, e do requisito de recurso ao financiamento externo, em caso de indisponibilidade de recursos suficientes para responder às preocupações das deslocações internas.</w:t>
      </w:r>
    </w:p>
    <w:p w:rsidR="00FD3360" w:rsidRDefault="000E0008">
      <w:pPr>
        <w:pStyle w:val="Paragraphedeliste"/>
        <w:numPr>
          <w:ilvl w:val="0"/>
          <w:numId w:val="1"/>
        </w:numPr>
        <w:tabs>
          <w:tab w:val="left" w:pos="913"/>
          <w:tab w:val="left" w:pos="914"/>
        </w:tabs>
        <w:spacing w:line="290" w:lineRule="auto"/>
        <w:ind w:right="225"/>
        <w:rPr>
          <w:sz w:val="19"/>
        </w:rPr>
      </w:pPr>
      <w:r>
        <w:rPr>
          <w:sz w:val="19"/>
        </w:rPr>
        <w:t xml:space="preserve">Incorporar na legislação local uma definição de PDI que está em conformidade com a definida na Convenção de Kampala e nos Princípios</w:t>
      </w:r>
      <w:r>
        <w:rPr>
          <w:sz w:val="19"/>
        </w:rPr>
        <w:t xml:space="preserve"> </w:t>
      </w:r>
      <w:r>
        <w:rPr>
          <w:sz w:val="19"/>
        </w:rPr>
        <w:t xml:space="preserve">Orientadores da ONU, deixando ao mesmo tempo bem claro que os exemplos das causas de deslocação na definição (i) não são exaustivos e que a definição (ii) não cria um estatuto legal específico, devendo sim ser usada para responder às vulnerabilidades específicas das PDI, através da disposção adequada nos termos das leis e políticas relevantes.</w:t>
      </w:r>
    </w:p>
    <w:p w:rsidR="00FD3360" w:rsidRDefault="000E0008">
      <w:pPr>
        <w:pStyle w:val="Paragraphedeliste"/>
        <w:numPr>
          <w:ilvl w:val="0"/>
          <w:numId w:val="1"/>
        </w:numPr>
        <w:tabs>
          <w:tab w:val="left" w:pos="913"/>
          <w:tab w:val="left" w:pos="914"/>
        </w:tabs>
        <w:spacing w:line="290" w:lineRule="auto"/>
        <w:ind w:right="486"/>
        <w:rPr>
          <w:sz w:val="19"/>
        </w:rPr>
      </w:pPr>
      <w:r>
        <w:rPr>
          <w:sz w:val="19"/>
        </w:rPr>
        <w:t xml:space="preserve">Consagrar na lei nacional uma proibição da discriminação com base nas deslocações, bem como da discriminação entre as PDI ou pessoas de comunidades não deslocadas, com base em qualquer fundamento, incluindo raça, cor, género, idioma, religião ou crença, opinião política ou outra, origem nacional, étnica ou social, estatuto legal ou social, idade, incapacidade, propriedade, nascimento ou qualquer critério semelhante.</w:t>
      </w:r>
    </w:p>
    <w:p w:rsidR="00FD3360" w:rsidRDefault="000E0008">
      <w:pPr>
        <w:pStyle w:val="Paragraphedeliste"/>
        <w:numPr>
          <w:ilvl w:val="0"/>
          <w:numId w:val="1"/>
        </w:numPr>
        <w:tabs>
          <w:tab w:val="left" w:pos="913"/>
          <w:tab w:val="left" w:pos="914"/>
        </w:tabs>
        <w:spacing w:line="290" w:lineRule="auto"/>
        <w:ind w:right="466"/>
        <w:rPr>
          <w:sz w:val="19"/>
        </w:rPr>
      </w:pPr>
      <w:r>
        <w:rPr>
          <w:sz w:val="19"/>
        </w:rPr>
        <w:t xml:space="preserve">Introduzir disposições na legislação nacional a proibir todas as formas de deslocação arbitrária, conforme definido na Convenção de Kampala e nos</w:t>
      </w:r>
      <w:r>
        <w:rPr>
          <w:sz w:val="19"/>
        </w:rPr>
        <w:t xml:space="preserve"> </w:t>
      </w:r>
      <w:r>
        <w:rPr>
          <w:sz w:val="19"/>
        </w:rPr>
        <w:t xml:space="preserve">Princípios Orientadores da ONU, e formular critérios conformes aos direitos humanos internacionais e às normas do direito humanitário para determinar quando um ato específico pode ser considerado equivalente à deslocação arbitrária.</w:t>
      </w:r>
      <w:r>
        <w:rPr>
          <w:sz w:val="19"/>
        </w:rPr>
        <w:t xml:space="preserve"> </w:t>
      </w:r>
      <w:r>
        <w:rPr>
          <w:sz w:val="19"/>
        </w:rPr>
        <w:t xml:space="preserve">Essas formulações devem, em especial, considerar o caso dos despejos forçados que apenas podem ser realizados de forma legal em circunstâncias excecionais e em plena conformidade com as disposições relevantes dos direitos humanos internacionais e do direito humanitário.</w:t>
      </w:r>
    </w:p>
    <w:p w:rsidR="00FD3360" w:rsidRPr="000E0008" w:rsidRDefault="000E0008" w:rsidP="000E0008">
      <w:pPr>
        <w:pStyle w:val="Paragraphedeliste"/>
        <w:numPr>
          <w:ilvl w:val="0"/>
          <w:numId w:val="1"/>
        </w:numPr>
        <w:tabs>
          <w:tab w:val="left" w:pos="913"/>
          <w:tab w:val="left" w:pos="914"/>
        </w:tabs>
        <w:spacing w:before="80" w:line="290" w:lineRule="auto"/>
        <w:ind w:right="229"/>
        <w:rPr>
          <w:w w:val="105"/>
          <w:sz w:val="19"/>
        </w:rPr>
      </w:pPr>
      <w:r>
        <w:rPr>
          <w:sz w:val="19"/>
        </w:rPr>
        <w:t xml:space="preserve">Em relação às garantias associadas aos direitos de habitação, terra e propriedade:</w:t>
      </w:r>
      <w:r>
        <w:rPr>
          <w:sz w:val="19"/>
        </w:rPr>
        <w:t xml:space="preserve"> </w:t>
      </w:r>
      <w:r>
        <w:rPr>
          <w:sz w:val="19"/>
        </w:rPr>
        <w:t xml:space="preserve">(i) reafirmar na legislação relevante que as PDI têm o direito que lhes sejam restituídas quaisquer ativos de habitação, terra e propriedade de que foram privadas ou, se tal não for possível, serem compensadas por qualquer perda de habitação, terra e propriedade, de acordo com a Convenção de Kampala, os Princípios Orientadores da ONU e</w:t>
      </w:r>
      <w:r>
        <w:rPr>
          <w:sz w:val="19"/>
        </w:rPr>
        <w:t xml:space="preserve"> </w:t>
      </w:r>
      <w:r>
        <w:rPr>
          <w:sz w:val="19"/>
        </w:rPr>
        <w:t xml:space="preserve">os Princípios Pinheiro e, para esse fim, terem um acesso eficaz aos tribunais ou mecanismos alternativos de resolução de litígios; (ii) reformar as leis que criam insegurança de propriedade, sobretudo a Lei de Controlo das Normas de Habitação, a Lei de Planeamento Regional, Urbano e Nacional e outras leis que permitem a deslocação arbitrária, incluindo através da criação de uma obrigação legal de procurar alternativas, antes de proceder a demolições ou despejos.</w:t>
      </w:r>
    </w:p>
    <w:p w:rsidR="00FD3360" w:rsidRDefault="000E0008">
      <w:pPr>
        <w:pStyle w:val="Paragraphedeliste"/>
        <w:numPr>
          <w:ilvl w:val="0"/>
          <w:numId w:val="1"/>
        </w:numPr>
        <w:tabs>
          <w:tab w:val="left" w:pos="913"/>
          <w:tab w:val="left" w:pos="914"/>
        </w:tabs>
        <w:spacing w:before="3" w:line="288" w:lineRule="auto"/>
        <w:ind w:right="292"/>
        <w:rPr>
          <w:sz w:val="19"/>
        </w:rPr>
      </w:pPr>
      <w:r>
        <w:rPr>
          <w:sz w:val="19"/>
        </w:rPr>
        <w:t xml:space="preserve">Promulgar uma legislação específica para:</w:t>
      </w:r>
      <w:r>
        <w:rPr>
          <w:sz w:val="19"/>
        </w:rPr>
        <w:t xml:space="preserve"> </w:t>
      </w:r>
      <w:r>
        <w:rPr>
          <w:sz w:val="19"/>
        </w:rPr>
        <w:t xml:space="preserve">(i) recolha regular dos dados das PDI, discriminados por idade e género, que são considerados necessários para informar os programas humanitários ou de desenvolvimento específicos; e</w:t>
      </w:r>
    </w:p>
    <w:p w:rsidR="00FD3360" w:rsidRDefault="000E0008">
      <w:pPr>
        <w:pStyle w:val="Corpsdetexte"/>
        <w:spacing w:before="5" w:line="290" w:lineRule="auto"/>
        <w:ind w:right="249"/>
      </w:pPr>
      <w:r>
        <w:t xml:space="preserve">(ii) manutenção e proteção de dados relevantes das PDI, de forma confidencial e segura, para assegurar a privacidade das PDI.</w:t>
      </w:r>
      <w:r>
        <w:t xml:space="preserve"> </w:t>
      </w:r>
      <w:r>
        <w:t xml:space="preserve">As duas tarefas podem ser desempenhadas quer através de legislação separada, quer respetivamente, (i) através da alteração da Lei de Censos e Estatísticas e (ii) através da inclusão de dados relativos às deslocações na lista de categorias de divulgação de informações que são consideradas não razoáveis, em conformidade com as secções 61 e 52 da Constituição.</w:t>
      </w:r>
    </w:p>
    <w:p w:rsidR="00FD3360" w:rsidRDefault="000E0008">
      <w:pPr>
        <w:pStyle w:val="Paragraphedeliste"/>
        <w:numPr>
          <w:ilvl w:val="0"/>
          <w:numId w:val="1"/>
        </w:numPr>
        <w:tabs>
          <w:tab w:val="left" w:pos="913"/>
          <w:tab w:val="left" w:pos="914"/>
        </w:tabs>
        <w:spacing w:line="290" w:lineRule="auto"/>
        <w:ind w:right="316"/>
        <w:rPr>
          <w:sz w:val="19"/>
        </w:rPr>
      </w:pPr>
      <w:r>
        <w:rPr>
          <w:sz w:val="19"/>
        </w:rPr>
        <w:t xml:space="preserve">Adotar, em conformidade com os requisitos específicos da Convenção de Kampala e os</w:t>
      </w:r>
      <w:r>
        <w:rPr>
          <w:sz w:val="19"/>
        </w:rPr>
        <w:t xml:space="preserve"> </w:t>
      </w:r>
      <w:r>
        <w:rPr>
          <w:sz w:val="19"/>
        </w:rPr>
        <w:t xml:space="preserve">Princípios Orientadores da ONU, uma política que assegura a total participação das PDI em todas as iniciativas que tenham impacto nas suas vidas e que o estado implementa todas as medidas razoáveis necessárias para obter o consentimento livre e informado das PDI e das comunidades afetadas pela deslocação, no que se refere a quaisquer decisões de deslocação ou recolocação.</w:t>
      </w:r>
      <w:r>
        <w:rPr>
          <w:sz w:val="19"/>
        </w:rPr>
        <w:t xml:space="preserve"> </w:t>
      </w:r>
      <w:r>
        <w:rPr>
          <w:sz w:val="19"/>
        </w:rPr>
        <w:t xml:space="preserve">Além disso, devem ser tomadas providências específicas para garantir que todos os grupos com necessidades especiais fazem parte do planeamento e gestão da procura de soluções duradouras.</w:t>
      </w:r>
      <w:r>
        <w:rPr>
          <w:sz w:val="19"/>
        </w:rPr>
        <w:t xml:space="preserve"> </w:t>
      </w:r>
      <w:r>
        <w:rPr>
          <w:sz w:val="19"/>
        </w:rPr>
        <w:t xml:space="preserve">Neste sentido, no contexto da Convenção de Kampala e de outros quadros normativos supranacionais, foi possível criar um fórum consultivo nacional com representantes</w:t>
      </w:r>
      <w:r>
        <w:rPr>
          <w:sz w:val="19"/>
        </w:rPr>
        <w:t xml:space="preserve"> </w:t>
      </w:r>
      <w:r>
        <w:rPr>
          <w:sz w:val="19"/>
        </w:rPr>
        <w:t xml:space="preserve">tanto das PDI, como das comunidades locais, com o intuito de dar pareceres consultivos à instituição nacional encarregada da coordenação de atividades de proteção e assistência às PDI.</w:t>
      </w:r>
    </w:p>
    <w:p w:rsidR="00FD3360" w:rsidRDefault="000E0008">
      <w:pPr>
        <w:pStyle w:val="Paragraphedeliste"/>
        <w:numPr>
          <w:ilvl w:val="0"/>
          <w:numId w:val="1"/>
        </w:numPr>
        <w:tabs>
          <w:tab w:val="left" w:pos="913"/>
          <w:tab w:val="left" w:pos="914"/>
        </w:tabs>
        <w:spacing w:line="290" w:lineRule="auto"/>
        <w:ind w:right="346"/>
        <w:rPr>
          <w:sz w:val="19"/>
        </w:rPr>
      </w:pPr>
      <w:r>
        <w:rPr>
          <w:sz w:val="19"/>
        </w:rPr>
        <w:t xml:space="preserve">Garantir que existem recursos adequados para responder às três fases da deslocação.</w:t>
      </w:r>
      <w:r>
        <w:rPr>
          <w:sz w:val="19"/>
        </w:rPr>
        <w:t xml:space="preserve"> </w:t>
      </w:r>
      <w:r>
        <w:rPr>
          <w:sz w:val="19"/>
        </w:rPr>
        <w:t xml:space="preserve">Isto pode ser conseguido, ao:</w:t>
      </w:r>
      <w:r>
        <w:rPr>
          <w:sz w:val="19"/>
        </w:rPr>
        <w:t xml:space="preserve"> </w:t>
      </w:r>
      <w:r>
        <w:rPr>
          <w:sz w:val="19"/>
        </w:rPr>
        <w:t xml:space="preserve">(i) ter em consideração os recursos necessários (incluindo fundos orçamentais, recursos humanos e bens humanitários) durante a elaboração de leis e políticas ligadas às PDI; (ii) coordenar a promulgação de legislação e políticas com os ciclos orçamentais do governo; e (iii) garantir que as autoridades com responsabilidade em relação às PDI têm o financiamento adequado.</w:t>
      </w:r>
    </w:p>
    <w:sectPr w:rsidR="00FD3360">
      <w:pgSz w:w="11900" w:h="16820"/>
      <w:pgMar w:top="1340" w:right="1220" w:bottom="280" w:left="12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603D35"/>
    <w:multiLevelType w:val="hybridMultilevel"/>
    <w:tmpl w:val="B16E7308"/>
    <w:lvl w:ilvl="0" w:tplc="98125810">
      <w:start w:val="1"/>
      <w:numFmt w:val="decimal"/>
      <w:lvlText w:val="%1."/>
      <w:lvlJc w:val="left"/>
      <w:pPr>
        <w:ind w:left="913" w:hanging="360"/>
        <w:jc w:val="left"/>
      </w:pPr>
      <w:rPr>
        <w:rFonts w:ascii="Calibri" w:eastAsia="Calibri" w:hAnsi="Calibri" w:cs="Calibri" w:hint="default"/>
        <w:color w:val="44546A"/>
        <w:spacing w:val="0"/>
        <w:w w:val="103"/>
        <w:sz w:val="19"/>
        <w:szCs w:val="19"/>
      </w:rPr>
    </w:lvl>
    <w:lvl w:ilvl="1" w:tplc="AF68DE1E">
      <w:numFmt w:val="bullet"/>
      <w:lvlText w:val="•"/>
      <w:lvlJc w:val="left"/>
      <w:pPr>
        <w:ind w:left="1774" w:hanging="360"/>
      </w:pPr>
      <w:rPr>
        <w:rFonts w:hint="default"/>
      </w:rPr>
    </w:lvl>
    <w:lvl w:ilvl="2" w:tplc="A5A65408">
      <w:numFmt w:val="bullet"/>
      <w:lvlText w:val="•"/>
      <w:lvlJc w:val="left"/>
      <w:pPr>
        <w:ind w:left="2628" w:hanging="360"/>
      </w:pPr>
      <w:rPr>
        <w:rFonts w:hint="default"/>
      </w:rPr>
    </w:lvl>
    <w:lvl w:ilvl="3" w:tplc="26DC48B0">
      <w:numFmt w:val="bullet"/>
      <w:lvlText w:val="•"/>
      <w:lvlJc w:val="left"/>
      <w:pPr>
        <w:ind w:left="3482" w:hanging="360"/>
      </w:pPr>
      <w:rPr>
        <w:rFonts w:hint="default"/>
      </w:rPr>
    </w:lvl>
    <w:lvl w:ilvl="4" w:tplc="F8F2E610">
      <w:numFmt w:val="bullet"/>
      <w:lvlText w:val="•"/>
      <w:lvlJc w:val="left"/>
      <w:pPr>
        <w:ind w:left="4336" w:hanging="360"/>
      </w:pPr>
      <w:rPr>
        <w:rFonts w:hint="default"/>
      </w:rPr>
    </w:lvl>
    <w:lvl w:ilvl="5" w:tplc="90E63A2C">
      <w:numFmt w:val="bullet"/>
      <w:lvlText w:val="•"/>
      <w:lvlJc w:val="left"/>
      <w:pPr>
        <w:ind w:left="5190" w:hanging="360"/>
      </w:pPr>
      <w:rPr>
        <w:rFonts w:hint="default"/>
      </w:rPr>
    </w:lvl>
    <w:lvl w:ilvl="6" w:tplc="013215BE">
      <w:numFmt w:val="bullet"/>
      <w:lvlText w:val="•"/>
      <w:lvlJc w:val="left"/>
      <w:pPr>
        <w:ind w:left="6044" w:hanging="360"/>
      </w:pPr>
      <w:rPr>
        <w:rFonts w:hint="default"/>
      </w:rPr>
    </w:lvl>
    <w:lvl w:ilvl="7" w:tplc="59406854">
      <w:numFmt w:val="bullet"/>
      <w:lvlText w:val="•"/>
      <w:lvlJc w:val="left"/>
      <w:pPr>
        <w:ind w:left="6898" w:hanging="360"/>
      </w:pPr>
      <w:rPr>
        <w:rFonts w:hint="default"/>
      </w:rPr>
    </w:lvl>
    <w:lvl w:ilvl="8" w:tplc="F4340792">
      <w:numFmt w:val="bullet"/>
      <w:lvlText w:val="•"/>
      <w:lvlJc w:val="left"/>
      <w:pPr>
        <w:ind w:left="7752"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rawingGridHorizontalSpacing w:val="110"/>
  <w:displayHorizontalDrawingGridEvery w:val="2"/>
  <w:characterSpacingControl w:val="doNotCompress"/>
  <w:compat>
    <w:ulTrailSpace/>
    <w:shapeLayoutLikeWW8/>
    <w:useFELayout/>
    <w:compatSetting w:name="compatibilityMode" w:uri="http://schemas.microsoft.com/office/word" w:val="12"/>
    <w:compatSetting w:name="useWord2013TrackBottomHyphenation" w:uri="http://schemas.microsoft.com/office/word" w:val="1"/>
  </w:compat>
  <w:rsids>
    <w:rsidRoot w:val="00FD3360"/>
    <w:rsid w:val="000E0008"/>
    <w:rsid w:val="00774F51"/>
    <w:rsid w:val="00FD3360"/>
  </w:rsids>
  <m:mathPr>
    <m:mathFont m:val="Cambria Math"/>
    <m:brkBin m:val="before"/>
    <m:brkBinSub m:val="--"/>
    <m:smallFrac m:val="0"/>
    <m:dispDef/>
    <m:lMargin m:val="0"/>
    <m:rMargin m:val="0"/>
    <m:defJc m:val="centerGroup"/>
    <m:wrapIndent m:val="1440"/>
    <m:intLim m:val="subSup"/>
    <m:naryLim m:val="undOvr"/>
  </m:mathPr>
  <w:themeFontLang w:val="nl-B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CE8D3"/>
  <w15:docId w15:val="{9BDEF538-8185-4B01-90C6-D58B15494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pPr>
      <w:ind w:left="913"/>
    </w:pPr>
    <w:rPr>
      <w:sz w:val="19"/>
      <w:szCs w:val="19"/>
    </w:rPr>
  </w:style>
  <w:style w:type="paragraph" w:styleId="Titre">
    <w:name w:val="Title"/>
    <w:basedOn w:val="Normal"/>
    <w:uiPriority w:val="10"/>
    <w:qFormat/>
    <w:pPr>
      <w:ind w:left="193"/>
    </w:pPr>
    <w:rPr>
      <w:sz w:val="52"/>
      <w:szCs w:val="52"/>
    </w:rPr>
  </w:style>
  <w:style w:type="paragraph" w:styleId="Paragraphedeliste">
    <w:name w:val="List Paragraph"/>
    <w:basedOn w:val="Normal"/>
    <w:uiPriority w:val="1"/>
    <w:qFormat/>
    <w:pPr>
      <w:ind w:left="913" w:right="208" w:hanging="36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&#65279;<?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goo.gl/637ZCD." TargetMode="Externa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899</Words>
  <Characters>4945</Characters>
  <Application>Microsoft Office Word</Application>
  <DocSecurity>0</DocSecurity>
  <Lines>41</Lines>
  <Paragraphs>11</Paragraphs>
  <ScaleCrop>false</ScaleCrop>
  <Company/>
  <LinksUpToDate>false</LinksUpToDate>
  <CharactersWithSpaces>5833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Caroline Debauche</cp:lastModifiedBy>
  <cp:revision>2</cp:revision>
  <dcterms:created xsi:type="dcterms:W3CDTF">2020-12-03T12:03:00Z</dcterms:created>
  <dcterms:modified xsi:type="dcterms:W3CDTF">2020-12-03T12:03:00Z</dcterms:modified>
</cp:coreProperties>
</file>